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hint="eastAsia" w:eastAsia="仿宋_GB2312"/>
          <w:sz w:val="32"/>
          <w:szCs w:val="32"/>
        </w:rPr>
      </w:pPr>
      <w:bookmarkStart w:id="0" w:name="OLE_LINK3"/>
      <w:r>
        <w:rPr>
          <w:rFonts w:hint="eastAsia" w:eastAsia="仿宋_GB2312"/>
          <w:sz w:val="32"/>
          <w:szCs w:val="32"/>
        </w:rPr>
        <w:t>第</w:t>
      </w:r>
      <w:r>
        <w:rPr>
          <w:rFonts w:eastAsia="仿宋_GB2312"/>
          <w:sz w:val="32"/>
          <w:szCs w:val="32"/>
        </w:rPr>
        <w:t>24</w:t>
      </w:r>
      <w:r>
        <w:rPr>
          <w:rFonts w:hint="eastAsia" w:eastAsia="仿宋_GB2312"/>
          <w:sz w:val="32"/>
          <w:szCs w:val="32"/>
        </w:rPr>
        <w:t>届全国青少年科技辅导员论文征集活动论文登记表</w:t>
      </w:r>
    </w:p>
    <w:p>
      <w:pPr>
        <w:snapToGrid w:val="0"/>
        <w:spacing w:line="560" w:lineRule="exact"/>
        <w:jc w:val="center"/>
        <w:rPr>
          <w:sz w:val="10"/>
          <w:szCs w:val="10"/>
        </w:rPr>
      </w:pPr>
      <w:r>
        <w:rPr>
          <w:rFonts w:hint="eastAsia" w:eastAsia="仿宋_GB2312"/>
          <w:sz w:val="32"/>
          <w:szCs w:val="32"/>
          <w:lang w:val="en-US" w:eastAsia="zh-CN"/>
        </w:rPr>
        <w:t>(作者填写）</w:t>
      </w:r>
      <w:bookmarkEnd w:id="0"/>
    </w:p>
    <w:tbl>
      <w:tblPr>
        <w:tblStyle w:val="5"/>
        <w:tblW w:w="90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611"/>
        <w:gridCol w:w="620"/>
        <w:gridCol w:w="933"/>
        <w:gridCol w:w="880"/>
        <w:gridCol w:w="1440"/>
        <w:gridCol w:w="1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姓名</w:t>
            </w:r>
          </w:p>
        </w:tc>
        <w:tc>
          <w:tcPr>
            <w:tcW w:w="323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陈玲玲、蓝希榕</w:t>
            </w:r>
          </w:p>
        </w:tc>
        <w:tc>
          <w:tcPr>
            <w:tcW w:w="933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年龄</w:t>
            </w: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27岁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最高学历</w:t>
            </w: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本科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工作单位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广州市南沙东涌中学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职务</w:t>
            </w:r>
          </w:p>
        </w:tc>
        <w:tc>
          <w:tcPr>
            <w:tcW w:w="323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通用技术老师</w:t>
            </w:r>
          </w:p>
        </w:tc>
        <w:tc>
          <w:tcPr>
            <w:tcW w:w="933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职称</w:t>
            </w:r>
          </w:p>
        </w:tc>
        <w:tc>
          <w:tcPr>
            <w:tcW w:w="3359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中学二级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联系地址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广州市南沙区东涌镇和乐一路1号                             （邮编　511432　　　　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联系电话</w:t>
            </w:r>
          </w:p>
        </w:tc>
        <w:tc>
          <w:tcPr>
            <w:tcW w:w="2611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13480277712</w:t>
            </w:r>
          </w:p>
        </w:tc>
        <w:tc>
          <w:tcPr>
            <w:tcW w:w="1553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电子信箱</w:t>
            </w:r>
          </w:p>
        </w:tc>
        <w:tc>
          <w:tcPr>
            <w:tcW w:w="3359" w:type="dxa"/>
            <w:gridSpan w:val="3"/>
            <w:vAlign w:val="center"/>
          </w:tcPr>
          <w:p>
            <w:pPr>
              <w:snapToGrid w:val="0"/>
              <w:ind w:left="25" w:leftChars="12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1165622035@qq.com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会员状况</w:t>
            </w:r>
          </w:p>
        </w:tc>
        <w:tc>
          <w:tcPr>
            <w:tcW w:w="7523" w:type="dxa"/>
            <w:gridSpan w:val="6"/>
            <w:textDirection w:val="lrTb"/>
            <w:vAlign w:val="center"/>
          </w:tcPr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□中国青少年科技辅导员协会会员，编号 P05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523" w:type="dxa"/>
            <w:gridSpan w:val="6"/>
            <w:textDirection w:val="lrTb"/>
            <w:vAlign w:val="center"/>
          </w:tcPr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■非会员（加入协会即可享受评审费优惠，详情请咨询中国青辅协秘</w:t>
            </w:r>
            <w:bookmarkStart w:id="1" w:name="_GoBack"/>
            <w:bookmarkEnd w:id="1"/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书处）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论文题目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科学教育新理念的实践探索— STS教育：以高中通用技术教学设计为例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摘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要</w:t>
            </w:r>
          </w:p>
        </w:tc>
        <w:tc>
          <w:tcPr>
            <w:tcW w:w="7523" w:type="dxa"/>
            <w:gridSpan w:val="6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（字数300～500字，可另页书写）</w:t>
            </w: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   STS教育旨在消解科技对环境、对传统、对历史文化的不利冲击，让科技与社会进入互助模式，实现科技与社会的和谐发展。这种教育发端于美国，逐步浸淫于欧美教育领域，继引导大学理工类课程改革后，又成为中小学科学教育课程改革的指引。我们国家在20世纪八十年代，STS教育日渐受宠于基础教育领域。STS教育具有以人为本、有机综合、开放多元、互动实操等特点。通用技术课程是我国普通高中必修课程，从课程设计、课程实施和课程评价来说，都应该、也必须自觉接受STS教育的指引，甚或说，应该流淌着STS教育的血液、传承着STS教育的基因。教学设计是课程发展的重要环。剖析教学设计，可以从教学目标、课堂活动、课后实操等阶段洞见STS教育的深刻影响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">
    <w:altName w:val="楷体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F7F05"/>
    <w:rsid w:val="000F2544"/>
    <w:rsid w:val="00152B21"/>
    <w:rsid w:val="001C091C"/>
    <w:rsid w:val="001F5A8C"/>
    <w:rsid w:val="002F35D4"/>
    <w:rsid w:val="006B23A5"/>
    <w:rsid w:val="00B020ED"/>
    <w:rsid w:val="00DF7F05"/>
    <w:rsid w:val="00E020C2"/>
    <w:rsid w:val="00F11F13"/>
    <w:rsid w:val="00F40437"/>
    <w:rsid w:val="00F7617C"/>
    <w:rsid w:val="13DF7B65"/>
    <w:rsid w:val="1FA65F99"/>
    <w:rsid w:val="46D90E42"/>
    <w:rsid w:val="4A7C6001"/>
    <w:rsid w:val="4C9A4769"/>
    <w:rsid w:val="4DA622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92</Words>
  <Characters>526</Characters>
  <Lines>4</Lines>
  <Paragraphs>1</Paragraphs>
  <TotalTime>0</TotalTime>
  <ScaleCrop>false</ScaleCrop>
  <LinksUpToDate>false</LinksUpToDate>
  <CharactersWithSpaces>617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dcterms:modified xsi:type="dcterms:W3CDTF">2016-06-21T01:57:08Z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